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2EA91FEE" w:rsidR="00540670" w:rsidRDefault="00137D16" w:rsidP="005B0E5C">
      <w:pPr>
        <w:ind w:left="200" w:hangingChars="100" w:hanging="200"/>
      </w:pPr>
      <w:bookmarkStart w:id="0" w:name="_GoBack"/>
      <w:bookmarkEnd w:id="0"/>
      <w:r>
        <w:rPr>
          <w:rFonts w:hint="eastAsia"/>
        </w:rPr>
        <w:t>FACTBOOK English Logic and Expression</w:t>
      </w:r>
      <w:r w:rsidR="00FC2661">
        <w:rPr>
          <w:rFonts w:hint="eastAsia"/>
        </w:rPr>
        <w:t>Ⅲ</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sidR="00FC2661">
        <w:rPr>
          <w:rFonts w:hint="eastAsia"/>
        </w:rPr>
        <w:t>論Ⅲ</w:t>
      </w:r>
      <w:r>
        <w:rPr>
          <w:rFonts w:hint="eastAsia"/>
        </w:rPr>
        <w:t xml:space="preserve"> </w:t>
      </w:r>
      <w:r w:rsidR="00CC7E11">
        <w:t>710</w:t>
      </w:r>
      <w:r w:rsidR="00540670">
        <w:rPr>
          <w:rFonts w:hint="eastAsia"/>
        </w:rPr>
        <w:t>］</w:t>
      </w:r>
      <w:r w:rsidR="00B15CC3">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581ACA56" w:rsidR="00540670" w:rsidRDefault="00E8063D" w:rsidP="005B0E5C">
            <w:pPr>
              <w:ind w:left="200" w:hangingChars="100" w:hanging="200"/>
            </w:pPr>
            <w:r>
              <w:rPr>
                <w:rFonts w:hint="eastAsia"/>
              </w:rPr>
              <w:t>・学習指導要領</w:t>
            </w:r>
            <w:r w:rsidR="00ED32CA">
              <w:rPr>
                <w:rFonts w:hint="eastAsia"/>
              </w:rPr>
              <w:t>，</w:t>
            </w:r>
            <w:r>
              <w:rPr>
                <w:rFonts w:hint="eastAsia"/>
              </w:rPr>
              <w:t>教科</w:t>
            </w:r>
            <w:r w:rsidR="00540670">
              <w:rPr>
                <w:rFonts w:hint="eastAsia"/>
              </w:rPr>
              <w:t>の目標を達成するために必要な教材</w:t>
            </w:r>
            <w:r>
              <w:rPr>
                <w:rFonts w:hint="eastAsia"/>
              </w:rPr>
              <w:t>の用意</w:t>
            </w:r>
          </w:p>
        </w:tc>
        <w:tc>
          <w:tcPr>
            <w:tcW w:w="6520" w:type="dxa"/>
          </w:tcPr>
          <w:p w14:paraId="313C61E5" w14:textId="77777777" w:rsidR="00137D16" w:rsidRDefault="00137D16" w:rsidP="00137D16">
            <w:pPr>
              <w:ind w:left="200" w:hangingChars="100" w:hanging="200"/>
            </w:pPr>
            <w:r>
              <w:rPr>
                <w:rFonts w:hint="eastAsia"/>
              </w:rPr>
              <w:t>①特定の場面・状況・目的に基づいたスピーキング活動やライティング活動が豊富に収録されている。</w:t>
            </w:r>
          </w:p>
          <w:p w14:paraId="74846C60" w14:textId="0B39CF05" w:rsidR="00137D16" w:rsidRDefault="00137D16" w:rsidP="00137D16">
            <w:pPr>
              <w:ind w:left="200" w:hangingChars="100" w:hanging="200"/>
            </w:pPr>
            <w:r>
              <w:rPr>
                <w:rFonts w:hint="eastAsia"/>
              </w:rPr>
              <w:t>②</w:t>
            </w:r>
            <w:r w:rsidR="0011319B">
              <w:rPr>
                <w:rFonts w:hint="eastAsia"/>
              </w:rPr>
              <w:t>言語活動を行ううえで有効な表現</w:t>
            </w:r>
            <w:r>
              <w:rPr>
                <w:rFonts w:hint="eastAsia"/>
              </w:rPr>
              <w:t>を体系的に学習できるとともに，それらを使用</w:t>
            </w:r>
            <w:r w:rsidR="0011319B">
              <w:rPr>
                <w:rFonts w:hint="eastAsia"/>
              </w:rPr>
              <w:t>しながら</w:t>
            </w:r>
            <w:r>
              <w:rPr>
                <w:rFonts w:hint="eastAsia"/>
              </w:rPr>
              <w:t>学ぶことで，より定着を深めることができる。</w:t>
            </w:r>
          </w:p>
          <w:p w14:paraId="173E8514" w14:textId="59EAE043" w:rsidR="00137D16" w:rsidRDefault="00137D16" w:rsidP="00137D16">
            <w:pPr>
              <w:ind w:left="200" w:hangingChars="100" w:hanging="200"/>
            </w:pPr>
            <w:r>
              <w:rPr>
                <w:rFonts w:hint="eastAsia"/>
              </w:rPr>
              <w:t>③</w:t>
            </w:r>
            <w:r w:rsidR="0011319B">
              <w:rPr>
                <w:rFonts w:hint="eastAsia"/>
              </w:rPr>
              <w:t>各</w:t>
            </w:r>
            <w:r w:rsidR="0011319B">
              <w:rPr>
                <w:rFonts w:hint="eastAsia"/>
              </w:rPr>
              <w:t>Unit</w:t>
            </w:r>
            <w:r w:rsidR="0011319B">
              <w:rPr>
                <w:rFonts w:hint="eastAsia"/>
              </w:rPr>
              <w:t>や</w:t>
            </w:r>
            <w:r>
              <w:rPr>
                <w:rFonts w:hint="eastAsia"/>
              </w:rPr>
              <w:t>Thinking Logically</w:t>
            </w:r>
            <w:r>
              <w:rPr>
                <w:rFonts w:hint="eastAsia"/>
              </w:rPr>
              <w:t>では，さまざまな型の文章構成を学習しながら，論理的なパラグラフを書く活動に取り組むことができる。</w:t>
            </w:r>
          </w:p>
          <w:p w14:paraId="2F597F30" w14:textId="548420D0" w:rsidR="00540670" w:rsidRDefault="00137D16" w:rsidP="00137D16">
            <w:pPr>
              <w:ind w:left="200" w:hangingChars="100" w:hanging="200"/>
            </w:pPr>
            <w:r>
              <w:rPr>
                <w:rFonts w:hint="eastAsia"/>
              </w:rPr>
              <w:t>④</w:t>
            </w:r>
            <w:r>
              <w:rPr>
                <w:rFonts w:hint="eastAsia"/>
              </w:rPr>
              <w:t>SDGs</w:t>
            </w:r>
            <w:r>
              <w:rPr>
                <w:rFonts w:hint="eastAsia"/>
              </w:rPr>
              <w:t>に関連する話題を随所に取り入れているため，多様な話題に触れることで視野を広げ，見方・考え方を深めることができる。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3E3944DE" w14:textId="77777777" w:rsidR="00137D16" w:rsidRDefault="00137D16" w:rsidP="00137D16">
            <w:pPr>
              <w:ind w:left="200" w:hangingChars="100" w:hanging="200"/>
            </w:pPr>
            <w:r>
              <w:rPr>
                <w:rFonts w:hint="eastAsia"/>
              </w:rPr>
              <w:t>①基本となる</w:t>
            </w:r>
            <w:r>
              <w:rPr>
                <w:rFonts w:hint="eastAsia"/>
              </w:rPr>
              <w:t>Unit</w:t>
            </w:r>
            <w:r>
              <w:rPr>
                <w:rFonts w:hint="eastAsia"/>
              </w:rPr>
              <w:t>は</w:t>
            </w:r>
            <w:r>
              <w:rPr>
                <w:rFonts w:hint="eastAsia"/>
              </w:rPr>
              <w:t>10</w:t>
            </w:r>
            <w:r>
              <w:rPr>
                <w:rFonts w:hint="eastAsia"/>
              </w:rPr>
              <w:t>あり，</w:t>
            </w:r>
            <w:r>
              <w:rPr>
                <w:rFonts w:hint="eastAsia"/>
              </w:rPr>
              <w:t>1</w:t>
            </w:r>
            <w:r>
              <w:rPr>
                <w:rFonts w:hint="eastAsia"/>
              </w:rPr>
              <w:t>学年</w:t>
            </w:r>
            <w:r>
              <w:rPr>
                <w:rFonts w:hint="eastAsia"/>
              </w:rPr>
              <w:t>2</w:t>
            </w:r>
            <w:r>
              <w:rPr>
                <w:rFonts w:hint="eastAsia"/>
              </w:rPr>
              <w:t>単位で指導できるよう配慮されている。</w:t>
            </w:r>
          </w:p>
          <w:p w14:paraId="3613DFAD" w14:textId="44F56556" w:rsidR="00137D16" w:rsidRDefault="00137D16" w:rsidP="00137D16">
            <w:pPr>
              <w:ind w:left="200" w:hangingChars="100" w:hanging="200"/>
            </w:pPr>
            <w:r>
              <w:rPr>
                <w:rFonts w:hint="eastAsia"/>
              </w:rPr>
              <w:t>②</w:t>
            </w:r>
            <w:r w:rsidR="0011319B">
              <w:rPr>
                <w:rFonts w:hint="eastAsia"/>
              </w:rPr>
              <w:t>U</w:t>
            </w:r>
            <w:r w:rsidR="0011319B">
              <w:t>nit</w:t>
            </w:r>
            <w:r w:rsidR="0011319B">
              <w:rPr>
                <w:rFonts w:hint="eastAsia"/>
              </w:rPr>
              <w:t>は２</w:t>
            </w:r>
            <w:r>
              <w:rPr>
                <w:rFonts w:hint="eastAsia"/>
              </w:rPr>
              <w:t>つの</w:t>
            </w:r>
            <w:r w:rsidR="0011319B">
              <w:t>Stage</w:t>
            </w:r>
            <w:r w:rsidR="0011319B">
              <w:rPr>
                <w:rFonts w:hint="eastAsia"/>
              </w:rPr>
              <w:t>から構成されており，</w:t>
            </w:r>
            <w:r w:rsidR="0011319B">
              <w:rPr>
                <w:rFonts w:hint="eastAsia"/>
              </w:rPr>
              <w:t>1</w:t>
            </w:r>
            <w:r w:rsidR="0011319B">
              <w:t>st Stage</w:t>
            </w:r>
            <w:r w:rsidR="0011319B">
              <w:rPr>
                <w:rFonts w:hint="eastAsia"/>
              </w:rPr>
              <w:t>で５つの文章の型のライティングを学習した後，</w:t>
            </w:r>
            <w:r w:rsidR="0011319B">
              <w:rPr>
                <w:rFonts w:hint="eastAsia"/>
              </w:rPr>
              <w:t>2</w:t>
            </w:r>
            <w:r w:rsidR="0011319B">
              <w:t>nd Stage</w:t>
            </w:r>
            <w:r w:rsidR="0011319B">
              <w:rPr>
                <w:rFonts w:hint="eastAsia"/>
              </w:rPr>
              <w:t>ではそれに関連するさらに５つの型のパラグラフライティングを取り上げており，復習しながらスパイラルに学習できる構成となっている</w:t>
            </w:r>
            <w:r>
              <w:rPr>
                <w:rFonts w:hint="eastAsia"/>
              </w:rPr>
              <w:t>。</w:t>
            </w:r>
          </w:p>
          <w:p w14:paraId="3378C052" w14:textId="7DC913FE" w:rsidR="00137D16" w:rsidRDefault="00137D16" w:rsidP="00137D16">
            <w:pPr>
              <w:ind w:left="200" w:hangingChars="100" w:hanging="200"/>
            </w:pPr>
            <w:r>
              <w:rPr>
                <w:rFonts w:hint="eastAsia"/>
              </w:rPr>
              <w:t>③</w:t>
            </w:r>
            <w:r w:rsidR="00E15287">
              <w:rPr>
                <w:rFonts w:hint="eastAsia"/>
              </w:rPr>
              <w:t>3</w:t>
            </w:r>
            <w:r w:rsidR="00E15287">
              <w:t>rd Stage</w:t>
            </w:r>
            <w:r w:rsidR="00E15287">
              <w:rPr>
                <w:rFonts w:hint="eastAsia"/>
              </w:rPr>
              <w:t>の</w:t>
            </w:r>
            <w:r>
              <w:rPr>
                <w:rFonts w:hint="eastAsia"/>
              </w:rPr>
              <w:t>Thinking Logically</w:t>
            </w:r>
            <w:r>
              <w:rPr>
                <w:rFonts w:hint="eastAsia"/>
              </w:rPr>
              <w:t>で</w:t>
            </w:r>
            <w:r w:rsidR="00E15287">
              <w:rPr>
                <w:rFonts w:hint="eastAsia"/>
              </w:rPr>
              <w:t>は，</w:t>
            </w:r>
            <w:r w:rsidR="00E15287">
              <w:rPr>
                <w:rFonts w:hint="eastAsia"/>
              </w:rPr>
              <w:t>Unit</w:t>
            </w:r>
            <w:r w:rsidR="00E15287">
              <w:rPr>
                <w:rFonts w:hint="eastAsia"/>
              </w:rPr>
              <w:t>で学習した知識・技能を生かし</w:t>
            </w:r>
            <w:r w:rsidR="002A7A6F">
              <w:rPr>
                <w:rFonts w:hint="eastAsia"/>
              </w:rPr>
              <w:t>ながら</w:t>
            </w:r>
            <w:r w:rsidR="00E15287">
              <w:rPr>
                <w:rFonts w:hint="eastAsia"/>
              </w:rPr>
              <w:t>，</w:t>
            </w:r>
            <w:r w:rsidR="002A7A6F">
              <w:rPr>
                <w:rFonts w:hint="eastAsia"/>
              </w:rPr>
              <w:t>段階的に</w:t>
            </w:r>
            <w:r w:rsidR="00E15287">
              <w:rPr>
                <w:rFonts w:hint="eastAsia"/>
              </w:rPr>
              <w:t>無理なく複数パラグラフのエッセイライティングが行えるよう</w:t>
            </w:r>
            <w:r>
              <w:rPr>
                <w:rFonts w:hint="eastAsia"/>
              </w:rPr>
              <w:t>工夫されている。</w:t>
            </w:r>
          </w:p>
          <w:p w14:paraId="2F77F794" w14:textId="18BAAC5F" w:rsidR="00154F58" w:rsidRDefault="00137D16" w:rsidP="00E15287">
            <w:pPr>
              <w:ind w:left="200" w:hangingChars="100" w:hanging="200"/>
            </w:pPr>
            <w:r>
              <w:rPr>
                <w:rFonts w:hint="eastAsia"/>
              </w:rPr>
              <w:t>④</w:t>
            </w:r>
            <w:r w:rsidR="00E15287">
              <w:rPr>
                <w:color w:val="000000"/>
                <w:kern w:val="0"/>
                <w:szCs w:val="20"/>
              </w:rPr>
              <w:t>Skills</w:t>
            </w:r>
            <w:r w:rsidR="00E15287">
              <w:rPr>
                <w:rFonts w:hint="eastAsia"/>
                <w:color w:val="000000"/>
                <w:kern w:val="0"/>
                <w:szCs w:val="20"/>
              </w:rPr>
              <w:t>ではディスカッション，ディベート，プレゼンテーション，スピーチなどの活動を行うが，</w:t>
            </w:r>
            <w:r w:rsidR="00E15287">
              <w:rPr>
                <w:rFonts w:hint="eastAsia"/>
                <w:color w:val="000000"/>
                <w:kern w:val="0"/>
                <w:szCs w:val="20"/>
              </w:rPr>
              <w:t>Unit</w:t>
            </w:r>
            <w:r w:rsidR="00E15287">
              <w:rPr>
                <w:rFonts w:hint="eastAsia"/>
                <w:color w:val="000000"/>
                <w:kern w:val="0"/>
                <w:szCs w:val="20"/>
              </w:rPr>
              <w:t>内の活動と関連づけることで効率的に授業を進められると同時に，</w:t>
            </w:r>
            <w:r w:rsidR="00E15287">
              <w:rPr>
                <w:rFonts w:hint="eastAsia"/>
                <w:color w:val="000000"/>
                <w:kern w:val="0"/>
                <w:szCs w:val="20"/>
              </w:rPr>
              <w:t>Unit</w:t>
            </w:r>
            <w:r w:rsidR="00E15287">
              <w:rPr>
                <w:rFonts w:hint="eastAsia"/>
                <w:color w:val="000000"/>
                <w:kern w:val="0"/>
                <w:szCs w:val="20"/>
              </w:rPr>
              <w:t>で扱ったトピックについての学びをさらに深められる作りになっている。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2A6BEFA2" w14:textId="77777777" w:rsidR="00137D16" w:rsidRDefault="00137D16" w:rsidP="00137D16">
            <w:r>
              <w:rPr>
                <w:rFonts w:hint="eastAsia"/>
              </w:rPr>
              <w:t>①本文理解を助けるイラストや写真が効果的に配置されている。</w:t>
            </w:r>
          </w:p>
          <w:p w14:paraId="07266FFF" w14:textId="77777777" w:rsidR="002A7A6F" w:rsidRDefault="00137D16" w:rsidP="002A7A6F">
            <w:pPr>
              <w:ind w:left="200" w:hangingChars="100" w:hanging="200"/>
            </w:pPr>
            <w:r>
              <w:rPr>
                <w:rFonts w:hint="eastAsia"/>
              </w:rPr>
              <w:t>②スピーキング活動では，</w:t>
            </w:r>
            <w:r w:rsidR="00E15287">
              <w:rPr>
                <w:rFonts w:hint="eastAsia"/>
              </w:rPr>
              <w:t>アイデアのヒントとなる視覚イメージや</w:t>
            </w:r>
            <w:r w:rsidR="002A7A6F">
              <w:rPr>
                <w:rFonts w:hint="eastAsia"/>
              </w:rPr>
              <w:t>M</w:t>
            </w:r>
            <w:r w:rsidR="002A7A6F">
              <w:t>odel Discussion</w:t>
            </w:r>
            <w:r>
              <w:rPr>
                <w:rFonts w:hint="eastAsia"/>
              </w:rPr>
              <w:t>を参照させることで，やり取りを促進させる工夫がされている。</w:t>
            </w:r>
          </w:p>
          <w:p w14:paraId="79230287" w14:textId="77777777" w:rsidR="002A7A6F" w:rsidRDefault="00E15287" w:rsidP="002A7A6F">
            <w:pPr>
              <w:ind w:left="200" w:hangingChars="100" w:hanging="200"/>
            </w:pPr>
            <w:r>
              <w:rPr>
                <w:rFonts w:hint="eastAsia"/>
              </w:rPr>
              <w:t>③</w:t>
            </w:r>
            <w:r w:rsidR="00137D16">
              <w:rPr>
                <w:rFonts w:hint="eastAsia"/>
              </w:rPr>
              <w:t>ラ</w:t>
            </w:r>
            <w:r w:rsidR="002A7A6F">
              <w:rPr>
                <w:rFonts w:hint="eastAsia"/>
              </w:rPr>
              <w:t>イティング活動</w:t>
            </w:r>
            <w:r w:rsidR="00137D16">
              <w:rPr>
                <w:rFonts w:hint="eastAsia"/>
              </w:rPr>
              <w:t>では，</w:t>
            </w:r>
            <w:r w:rsidR="002A7A6F">
              <w:rPr>
                <w:rFonts w:hint="eastAsia"/>
              </w:rPr>
              <w:t>各</w:t>
            </w:r>
            <w:r w:rsidR="002A7A6F">
              <w:rPr>
                <w:rFonts w:hint="eastAsia"/>
              </w:rPr>
              <w:t>Unit</w:t>
            </w:r>
            <w:r w:rsidR="002A7A6F">
              <w:rPr>
                <w:rFonts w:hint="eastAsia"/>
              </w:rPr>
              <w:t>で学習する文章の型について解説ページが設けられており，サンプル文をもとに具体的に学習することができる。実際のライティングにおいては，</w:t>
            </w:r>
            <w:r>
              <w:rPr>
                <w:rFonts w:hint="eastAsia"/>
              </w:rPr>
              <w:t>アイデアの整理，概要の構成，下書き，下書きの改善と，丁寧な</w:t>
            </w:r>
            <w:r w:rsidR="00137D16">
              <w:rPr>
                <w:rFonts w:hint="eastAsia"/>
              </w:rPr>
              <w:t>ステップが設けられている。</w:t>
            </w:r>
          </w:p>
          <w:p w14:paraId="2CEE545F" w14:textId="122D9111" w:rsidR="00540670" w:rsidRPr="00540670" w:rsidRDefault="002A7A6F" w:rsidP="002A7A6F">
            <w:pPr>
              <w:ind w:left="200" w:hangingChars="100" w:hanging="200"/>
            </w:pPr>
            <w:r>
              <w:rPr>
                <w:rFonts w:hint="eastAsia"/>
              </w:rPr>
              <w:t>④</w:t>
            </w:r>
            <w:r w:rsidR="00137D16">
              <w:rPr>
                <w:rFonts w:hint="eastAsia"/>
              </w:rPr>
              <w:t>巻末の</w:t>
            </w:r>
            <w:r w:rsidR="00137D16">
              <w:rPr>
                <w:rFonts w:hint="eastAsia"/>
              </w:rPr>
              <w:t>Communication Strategies</w:t>
            </w:r>
            <w:r>
              <w:rPr>
                <w:rFonts w:hint="eastAsia"/>
              </w:rPr>
              <w:t>（表現集）を使って，コミュニケーションに役立つ表現を参照しながら</w:t>
            </w:r>
            <w:r w:rsidR="00137D16">
              <w:rPr>
                <w:rFonts w:hint="eastAsia"/>
              </w:rPr>
              <w:t>言語活動に取り組むことができる。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68F1D3A7" w14:textId="4C445EBB" w:rsidR="00137D16" w:rsidRDefault="00137D16" w:rsidP="00137D16">
            <w:pPr>
              <w:ind w:left="200" w:hangingChars="100" w:hanging="200"/>
            </w:pPr>
            <w:r>
              <w:rPr>
                <w:rFonts w:hint="eastAsia"/>
              </w:rPr>
              <w:t>①</w:t>
            </w:r>
            <w:r w:rsidR="002A7A6F">
              <w:rPr>
                <w:rFonts w:hint="eastAsia"/>
              </w:rPr>
              <w:t>巻頭にパラグラフライティングの概要説明のページが設けられており，教科書全体の学習の目的や意義を確認することができる。</w:t>
            </w:r>
          </w:p>
          <w:p w14:paraId="205191A0" w14:textId="77777777" w:rsidR="00137D16" w:rsidRDefault="00137D16" w:rsidP="00137D16">
            <w:pPr>
              <w:ind w:left="200" w:hangingChars="100" w:hanging="200"/>
            </w:pPr>
            <w:r>
              <w:rPr>
                <w:rFonts w:hint="eastAsia"/>
              </w:rPr>
              <w:t>②さまざまな背景を持つ高校生のキャラクターが描かれており，生徒は興味を持ちながら多様な考えに触れることができる。</w:t>
            </w:r>
          </w:p>
          <w:p w14:paraId="744C6670" w14:textId="223247C7" w:rsidR="00137D16" w:rsidRDefault="00137D16" w:rsidP="00137D16">
            <w:pPr>
              <w:ind w:left="200" w:hangingChars="100" w:hanging="200"/>
            </w:pPr>
            <w:r>
              <w:rPr>
                <w:rFonts w:hint="eastAsia"/>
              </w:rPr>
              <w:t>③</w:t>
            </w:r>
            <w:r w:rsidR="00592B69">
              <w:rPr>
                <w:rFonts w:hint="eastAsia"/>
              </w:rPr>
              <w:t>S</w:t>
            </w:r>
            <w:r w:rsidR="00592B69">
              <w:t>mall Talk</w:t>
            </w:r>
            <w:r w:rsidR="00592B69">
              <w:rPr>
                <w:rFonts w:hint="eastAsia"/>
              </w:rPr>
              <w:t>や</w:t>
            </w:r>
            <w:r w:rsidR="00592B69">
              <w:rPr>
                <w:rFonts w:hint="eastAsia"/>
              </w:rPr>
              <w:t>L</w:t>
            </w:r>
            <w:r w:rsidR="00592B69">
              <w:t>isten</w:t>
            </w:r>
            <w:r w:rsidR="002A7A6F">
              <w:rPr>
                <w:rFonts w:hint="eastAsia"/>
              </w:rPr>
              <w:t>，</w:t>
            </w:r>
            <w:r w:rsidR="002A7A6F">
              <w:t>Background Information for Thinking</w:t>
            </w:r>
            <w:r>
              <w:rPr>
                <w:rFonts w:hint="eastAsia"/>
              </w:rPr>
              <w:t>など，トピック</w:t>
            </w:r>
            <w:r w:rsidR="00B077C4">
              <w:rPr>
                <w:rFonts w:hint="eastAsia"/>
              </w:rPr>
              <w:t>に関する</w:t>
            </w:r>
            <w:r>
              <w:rPr>
                <w:rFonts w:hint="eastAsia"/>
              </w:rPr>
              <w:t>知識をインプットするための支援が豊富に掲載されている。</w:t>
            </w:r>
          </w:p>
          <w:p w14:paraId="4785D279" w14:textId="75311C2E" w:rsidR="00E478DB" w:rsidRPr="00E478DB" w:rsidRDefault="00137D16" w:rsidP="00137D16">
            <w:pPr>
              <w:ind w:left="200" w:hangingChars="100" w:hanging="200"/>
            </w:pPr>
            <w:r>
              <w:rPr>
                <w:rFonts w:hint="eastAsia"/>
              </w:rPr>
              <w:t>④</w:t>
            </w:r>
            <w:r>
              <w:rPr>
                <w:rFonts w:hint="eastAsia"/>
              </w:rPr>
              <w:t>QR</w:t>
            </w:r>
            <w:r w:rsidR="002A7A6F">
              <w:rPr>
                <w:rFonts w:hint="eastAsia"/>
              </w:rPr>
              <w:t>コードから</w:t>
            </w:r>
            <w:r w:rsidR="002A7A6F">
              <w:rPr>
                <w:rFonts w:hint="eastAsia"/>
              </w:rPr>
              <w:t>Listen</w:t>
            </w:r>
            <w:r w:rsidR="002A7A6F">
              <w:rPr>
                <w:rFonts w:hint="eastAsia"/>
              </w:rPr>
              <w:t>や</w:t>
            </w:r>
            <w:r w:rsidR="002A7A6F">
              <w:rPr>
                <w:rFonts w:hint="eastAsia"/>
              </w:rPr>
              <w:t>Model Discussion</w:t>
            </w:r>
            <w:r w:rsidR="002A7A6F">
              <w:rPr>
                <w:rFonts w:hint="eastAsia"/>
              </w:rPr>
              <w:t>の</w:t>
            </w:r>
            <w:r>
              <w:rPr>
                <w:rFonts w:hint="eastAsia"/>
              </w:rPr>
              <w:t>音声</w:t>
            </w:r>
            <w:r w:rsidR="002A7A6F">
              <w:rPr>
                <w:rFonts w:hint="eastAsia"/>
              </w:rPr>
              <w:t>スクリプト</w:t>
            </w:r>
            <w:r>
              <w:rPr>
                <w:rFonts w:hint="eastAsia"/>
              </w:rPr>
              <w:t>を聞くことができ，学習に役立てることができる。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A1EBB" w14:textId="77777777" w:rsidR="0038333E" w:rsidRDefault="0038333E" w:rsidP="00F5605D">
      <w:r>
        <w:separator/>
      </w:r>
    </w:p>
  </w:endnote>
  <w:endnote w:type="continuationSeparator" w:id="0">
    <w:p w14:paraId="2EA71293" w14:textId="77777777" w:rsidR="0038333E" w:rsidRDefault="0038333E"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D8A4A" w14:textId="77777777" w:rsidR="0038333E" w:rsidRDefault="0038333E" w:rsidP="00F5605D">
      <w:r>
        <w:separator/>
      </w:r>
    </w:p>
  </w:footnote>
  <w:footnote w:type="continuationSeparator" w:id="0">
    <w:p w14:paraId="03D25516" w14:textId="77777777" w:rsidR="0038333E" w:rsidRDefault="0038333E"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64014"/>
    <w:rsid w:val="0011319B"/>
    <w:rsid w:val="00137D16"/>
    <w:rsid w:val="00154F58"/>
    <w:rsid w:val="001E5D41"/>
    <w:rsid w:val="0028684E"/>
    <w:rsid w:val="0028729B"/>
    <w:rsid w:val="002A7A6F"/>
    <w:rsid w:val="00327EAE"/>
    <w:rsid w:val="00345A62"/>
    <w:rsid w:val="00353D36"/>
    <w:rsid w:val="0038333E"/>
    <w:rsid w:val="003976E4"/>
    <w:rsid w:val="003A5832"/>
    <w:rsid w:val="0047519B"/>
    <w:rsid w:val="00540670"/>
    <w:rsid w:val="00587426"/>
    <w:rsid w:val="00592B69"/>
    <w:rsid w:val="005B0E5C"/>
    <w:rsid w:val="005D450B"/>
    <w:rsid w:val="007D4611"/>
    <w:rsid w:val="008170F5"/>
    <w:rsid w:val="00825975"/>
    <w:rsid w:val="009075A0"/>
    <w:rsid w:val="009B2BC8"/>
    <w:rsid w:val="00A62483"/>
    <w:rsid w:val="00A63944"/>
    <w:rsid w:val="00AB3810"/>
    <w:rsid w:val="00AF2945"/>
    <w:rsid w:val="00B077C4"/>
    <w:rsid w:val="00B07C27"/>
    <w:rsid w:val="00B15CC3"/>
    <w:rsid w:val="00B43ED5"/>
    <w:rsid w:val="00B6105E"/>
    <w:rsid w:val="00CC7E11"/>
    <w:rsid w:val="00D52443"/>
    <w:rsid w:val="00DA47BC"/>
    <w:rsid w:val="00E15287"/>
    <w:rsid w:val="00E360D7"/>
    <w:rsid w:val="00E478DB"/>
    <w:rsid w:val="00E8063D"/>
    <w:rsid w:val="00ED32CA"/>
    <w:rsid w:val="00F5605D"/>
    <w:rsid w:val="00F67AF4"/>
    <w:rsid w:val="00F80812"/>
    <w:rsid w:val="00F81A77"/>
    <w:rsid w:val="00FC2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87AB4-8B5D-420D-A96F-D264CE0C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1033</Characters>
  <Application>Microsoft Office Word</Application>
  <DocSecurity>0</DocSecurity>
  <Lines>30</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2022-07-06T03:15:00Z</dcterms:created>
  <dcterms:modified xsi:type="dcterms:W3CDTF">2023-05-18T07:28:00Z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bf2d9af3bb8512e8d1853ca4e3f24ac1013251a210563ae70a26927a40538497</vt:lpwstr>
  </property>
</Properties>
</file>