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673"/>
        <w:gridCol w:w="673"/>
        <w:gridCol w:w="673"/>
        <w:gridCol w:w="1656"/>
        <w:gridCol w:w="2639"/>
        <w:gridCol w:w="2639"/>
        <w:gridCol w:w="2639"/>
        <w:gridCol w:w="2640"/>
      </w:tblGrid>
      <w:tr w:rsidR="00392ACD">
        <w:tblPrEx>
          <w:tblCellMar>
            <w:top w:w="0" w:type="dxa"/>
            <w:bottom w:w="0" w:type="dxa"/>
          </w:tblCellMar>
        </w:tblPrEx>
        <w:trPr>
          <w:cantSplit/>
          <w:trHeight w:val="342"/>
        </w:trPr>
        <w:tc>
          <w:tcPr>
            <w:tcW w:w="1345" w:type="dxa"/>
            <w:gridSpan w:val="2"/>
            <w:vAlign w:val="center"/>
          </w:tcPr>
          <w:p w:rsidR="00392ACD" w:rsidRDefault="00392ACD">
            <w:pPr>
              <w:jc w:val="center"/>
              <w:rPr>
                <w:rFonts w:hint="eastAsia"/>
              </w:rPr>
            </w:pPr>
            <w:bookmarkStart w:id="0" w:name="_GoBack"/>
            <w:bookmarkEnd w:id="0"/>
            <w:r>
              <w:rPr>
                <w:rFonts w:hint="eastAsia"/>
              </w:rPr>
              <w:t>発行者</w:t>
            </w:r>
          </w:p>
        </w:tc>
        <w:tc>
          <w:tcPr>
            <w:tcW w:w="1346" w:type="dxa"/>
            <w:gridSpan w:val="2"/>
            <w:vAlign w:val="center"/>
          </w:tcPr>
          <w:p w:rsidR="00392ACD" w:rsidRDefault="00392ACD">
            <w:pPr>
              <w:jc w:val="center"/>
              <w:rPr>
                <w:rFonts w:hint="eastAsia"/>
              </w:rPr>
            </w:pPr>
            <w:r>
              <w:rPr>
                <w:rFonts w:hint="eastAsia"/>
              </w:rPr>
              <w:t>教科書番号</w:t>
            </w:r>
          </w:p>
        </w:tc>
        <w:tc>
          <w:tcPr>
            <w:tcW w:w="1656" w:type="dxa"/>
            <w:vMerge w:val="restart"/>
            <w:vAlign w:val="center"/>
          </w:tcPr>
          <w:p w:rsidR="00392ACD" w:rsidRDefault="00392ACD">
            <w:pPr>
              <w:jc w:val="center"/>
              <w:rPr>
                <w:rFonts w:hint="eastAsia"/>
              </w:rPr>
            </w:pPr>
            <w:r>
              <w:rPr>
                <w:rFonts w:hint="eastAsia"/>
              </w:rPr>
              <w:t>教科書名</w:t>
            </w:r>
          </w:p>
        </w:tc>
        <w:tc>
          <w:tcPr>
            <w:tcW w:w="2639" w:type="dxa"/>
            <w:vMerge w:val="restart"/>
            <w:vAlign w:val="center"/>
          </w:tcPr>
          <w:p w:rsidR="00392ACD" w:rsidRDefault="00392ACD">
            <w:pPr>
              <w:jc w:val="center"/>
              <w:rPr>
                <w:rFonts w:hint="eastAsia"/>
              </w:rPr>
            </w:pPr>
            <w:r>
              <w:rPr>
                <w:rFonts w:hint="eastAsia"/>
              </w:rPr>
              <w:t>(1)</w:t>
            </w:r>
            <w:r>
              <w:rPr>
                <w:rFonts w:hint="eastAsia"/>
              </w:rPr>
              <w:t>内容</w:t>
            </w:r>
          </w:p>
        </w:tc>
        <w:tc>
          <w:tcPr>
            <w:tcW w:w="2639" w:type="dxa"/>
            <w:vMerge w:val="restart"/>
            <w:vAlign w:val="center"/>
          </w:tcPr>
          <w:p w:rsidR="00392ACD" w:rsidRDefault="00392ACD">
            <w:pPr>
              <w:jc w:val="center"/>
              <w:rPr>
                <w:rFonts w:hint="eastAsia"/>
              </w:rPr>
            </w:pPr>
            <w:r>
              <w:rPr>
                <w:rFonts w:hint="eastAsia"/>
              </w:rPr>
              <w:t>(2)</w:t>
            </w:r>
            <w:r>
              <w:rPr>
                <w:rFonts w:hint="eastAsia"/>
              </w:rPr>
              <w:t>構成・分量</w:t>
            </w:r>
          </w:p>
        </w:tc>
        <w:tc>
          <w:tcPr>
            <w:tcW w:w="2639" w:type="dxa"/>
            <w:vMerge w:val="restart"/>
            <w:vAlign w:val="center"/>
          </w:tcPr>
          <w:p w:rsidR="00392ACD" w:rsidRDefault="00392ACD">
            <w:pPr>
              <w:jc w:val="center"/>
              <w:rPr>
                <w:rFonts w:hint="eastAsia"/>
              </w:rPr>
            </w:pPr>
            <w:r>
              <w:rPr>
                <w:rFonts w:hint="eastAsia"/>
              </w:rPr>
              <w:t>(3)</w:t>
            </w:r>
            <w:r>
              <w:rPr>
                <w:rFonts w:hint="eastAsia"/>
              </w:rPr>
              <w:t>表記・表現及び</w:t>
            </w:r>
          </w:p>
          <w:p w:rsidR="00392ACD" w:rsidRDefault="00392ACD">
            <w:pPr>
              <w:jc w:val="center"/>
              <w:rPr>
                <w:rFonts w:hint="eastAsia"/>
              </w:rPr>
            </w:pPr>
            <w:r>
              <w:rPr>
                <w:rFonts w:hint="eastAsia"/>
              </w:rPr>
              <w:t>使用上の便宜</w:t>
            </w:r>
          </w:p>
        </w:tc>
        <w:tc>
          <w:tcPr>
            <w:tcW w:w="2640" w:type="dxa"/>
            <w:vMerge w:val="restart"/>
            <w:vAlign w:val="center"/>
          </w:tcPr>
          <w:p w:rsidR="00392ACD" w:rsidRDefault="00392ACD">
            <w:pPr>
              <w:jc w:val="center"/>
              <w:rPr>
                <w:rFonts w:hint="eastAsia"/>
              </w:rPr>
            </w:pPr>
            <w:r>
              <w:rPr>
                <w:rFonts w:hint="eastAsia"/>
              </w:rPr>
              <w:t>(4)</w:t>
            </w:r>
            <w:r>
              <w:rPr>
                <w:rFonts w:hint="eastAsia"/>
              </w:rPr>
              <w:t>その他</w:t>
            </w:r>
          </w:p>
        </w:tc>
      </w:tr>
      <w:tr w:rsidR="00392ACD">
        <w:tblPrEx>
          <w:tblCellMar>
            <w:top w:w="0" w:type="dxa"/>
            <w:bottom w:w="0" w:type="dxa"/>
          </w:tblCellMar>
        </w:tblPrEx>
        <w:trPr>
          <w:cantSplit/>
          <w:trHeight w:val="360"/>
        </w:trPr>
        <w:tc>
          <w:tcPr>
            <w:tcW w:w="672" w:type="dxa"/>
            <w:vAlign w:val="center"/>
          </w:tcPr>
          <w:p w:rsidR="00392ACD" w:rsidRDefault="00392ACD">
            <w:pPr>
              <w:jc w:val="center"/>
              <w:rPr>
                <w:rFonts w:hint="eastAsia"/>
              </w:rPr>
            </w:pPr>
            <w:r>
              <w:rPr>
                <w:rFonts w:hint="eastAsia"/>
              </w:rPr>
              <w:t>番号</w:t>
            </w:r>
          </w:p>
        </w:tc>
        <w:tc>
          <w:tcPr>
            <w:tcW w:w="673" w:type="dxa"/>
            <w:vAlign w:val="center"/>
          </w:tcPr>
          <w:p w:rsidR="00392ACD" w:rsidRDefault="00392ACD">
            <w:pPr>
              <w:jc w:val="center"/>
              <w:rPr>
                <w:rFonts w:hint="eastAsia"/>
              </w:rPr>
            </w:pPr>
            <w:r>
              <w:rPr>
                <w:rFonts w:hint="eastAsia"/>
              </w:rPr>
              <w:t>略称</w:t>
            </w:r>
          </w:p>
        </w:tc>
        <w:tc>
          <w:tcPr>
            <w:tcW w:w="673" w:type="dxa"/>
            <w:vAlign w:val="center"/>
          </w:tcPr>
          <w:p w:rsidR="00392ACD" w:rsidRDefault="00392ACD">
            <w:pPr>
              <w:jc w:val="center"/>
              <w:rPr>
                <w:rFonts w:hint="eastAsia"/>
              </w:rPr>
            </w:pPr>
            <w:r>
              <w:rPr>
                <w:rFonts w:hint="eastAsia"/>
              </w:rPr>
              <w:t>記号</w:t>
            </w:r>
          </w:p>
        </w:tc>
        <w:tc>
          <w:tcPr>
            <w:tcW w:w="673" w:type="dxa"/>
            <w:vAlign w:val="center"/>
          </w:tcPr>
          <w:p w:rsidR="00392ACD" w:rsidRDefault="00392ACD">
            <w:pPr>
              <w:jc w:val="center"/>
              <w:rPr>
                <w:rFonts w:hint="eastAsia"/>
              </w:rPr>
            </w:pPr>
            <w:r>
              <w:rPr>
                <w:rFonts w:hint="eastAsia"/>
              </w:rPr>
              <w:t>番号</w:t>
            </w:r>
          </w:p>
        </w:tc>
        <w:tc>
          <w:tcPr>
            <w:tcW w:w="1656" w:type="dxa"/>
            <w:vMerge/>
            <w:vAlign w:val="center"/>
          </w:tcPr>
          <w:p w:rsidR="00392ACD" w:rsidRDefault="00392ACD">
            <w:pPr>
              <w:jc w:val="center"/>
            </w:pPr>
          </w:p>
        </w:tc>
        <w:tc>
          <w:tcPr>
            <w:tcW w:w="2639" w:type="dxa"/>
            <w:vMerge/>
            <w:vAlign w:val="center"/>
          </w:tcPr>
          <w:p w:rsidR="00392ACD" w:rsidRDefault="00392ACD">
            <w:pPr>
              <w:jc w:val="center"/>
            </w:pPr>
          </w:p>
        </w:tc>
        <w:tc>
          <w:tcPr>
            <w:tcW w:w="2639" w:type="dxa"/>
            <w:vMerge/>
            <w:vAlign w:val="center"/>
          </w:tcPr>
          <w:p w:rsidR="00392ACD" w:rsidRDefault="00392ACD">
            <w:pPr>
              <w:jc w:val="center"/>
            </w:pPr>
          </w:p>
        </w:tc>
        <w:tc>
          <w:tcPr>
            <w:tcW w:w="2639" w:type="dxa"/>
            <w:vMerge/>
            <w:vAlign w:val="center"/>
          </w:tcPr>
          <w:p w:rsidR="00392ACD" w:rsidRDefault="00392ACD">
            <w:pPr>
              <w:jc w:val="center"/>
            </w:pPr>
          </w:p>
        </w:tc>
        <w:tc>
          <w:tcPr>
            <w:tcW w:w="2640" w:type="dxa"/>
            <w:vMerge/>
            <w:vAlign w:val="center"/>
          </w:tcPr>
          <w:p w:rsidR="00392ACD" w:rsidRDefault="00392ACD">
            <w:pPr>
              <w:jc w:val="center"/>
            </w:pPr>
          </w:p>
        </w:tc>
      </w:tr>
      <w:tr w:rsidR="00392ACD">
        <w:tblPrEx>
          <w:tblCellMar>
            <w:top w:w="0" w:type="dxa"/>
            <w:bottom w:w="0" w:type="dxa"/>
          </w:tblCellMar>
        </w:tblPrEx>
        <w:trPr>
          <w:trHeight w:val="1242"/>
        </w:trPr>
        <w:tc>
          <w:tcPr>
            <w:tcW w:w="672" w:type="dxa"/>
            <w:vAlign w:val="center"/>
          </w:tcPr>
          <w:p w:rsidR="00392ACD" w:rsidRDefault="00392ACD">
            <w:pPr>
              <w:jc w:val="center"/>
              <w:rPr>
                <w:rFonts w:hint="eastAsia"/>
              </w:rPr>
            </w:pPr>
            <w:r>
              <w:rPr>
                <w:rFonts w:hint="eastAsia"/>
              </w:rPr>
              <w:t>212</w:t>
            </w:r>
          </w:p>
        </w:tc>
        <w:tc>
          <w:tcPr>
            <w:tcW w:w="673" w:type="dxa"/>
            <w:vAlign w:val="center"/>
          </w:tcPr>
          <w:p w:rsidR="00392ACD" w:rsidRDefault="00392ACD">
            <w:pPr>
              <w:jc w:val="center"/>
              <w:rPr>
                <w:rFonts w:hint="eastAsia"/>
              </w:rPr>
            </w:pPr>
            <w:r>
              <w:rPr>
                <w:rFonts w:hint="eastAsia"/>
              </w:rPr>
              <w:t>桐原</w:t>
            </w:r>
          </w:p>
        </w:tc>
        <w:tc>
          <w:tcPr>
            <w:tcW w:w="673" w:type="dxa"/>
            <w:vAlign w:val="center"/>
          </w:tcPr>
          <w:p w:rsidR="00392ACD" w:rsidRDefault="00087FE9">
            <w:pPr>
              <w:jc w:val="center"/>
              <w:rPr>
                <w:rFonts w:hint="eastAsia"/>
              </w:rPr>
            </w:pPr>
            <w:r>
              <w:rPr>
                <w:rFonts w:hint="eastAsia"/>
              </w:rPr>
              <w:t>現</w:t>
            </w:r>
            <w:r w:rsidR="009E7A02">
              <w:rPr>
                <w:rFonts w:hint="eastAsia"/>
              </w:rPr>
              <w:t>Ｂ</w:t>
            </w:r>
          </w:p>
        </w:tc>
        <w:tc>
          <w:tcPr>
            <w:tcW w:w="673" w:type="dxa"/>
            <w:vAlign w:val="center"/>
          </w:tcPr>
          <w:p w:rsidR="00392ACD" w:rsidRDefault="004B0354">
            <w:pPr>
              <w:jc w:val="center"/>
              <w:rPr>
                <w:rFonts w:hint="eastAsia"/>
              </w:rPr>
            </w:pPr>
            <w:r>
              <w:rPr>
                <w:rFonts w:hint="eastAsia"/>
              </w:rPr>
              <w:t>341</w:t>
            </w:r>
          </w:p>
        </w:tc>
        <w:tc>
          <w:tcPr>
            <w:tcW w:w="1656" w:type="dxa"/>
            <w:vAlign w:val="center"/>
          </w:tcPr>
          <w:p w:rsidR="00B457E2" w:rsidRDefault="00B457E2">
            <w:pPr>
              <w:jc w:val="center"/>
              <w:rPr>
                <w:rFonts w:hint="eastAsia"/>
              </w:rPr>
            </w:pPr>
          </w:p>
          <w:p w:rsidR="00FA7FA6" w:rsidRDefault="00B536C1">
            <w:pPr>
              <w:jc w:val="center"/>
              <w:rPr>
                <w:rFonts w:hint="eastAsia"/>
              </w:rPr>
            </w:pPr>
            <w:r>
              <w:rPr>
                <w:rFonts w:hint="eastAsia"/>
              </w:rPr>
              <w:t>新</w:t>
            </w:r>
            <w:r>
              <w:rPr>
                <w:rFonts w:hint="eastAsia"/>
              </w:rPr>
              <w:t xml:space="preserve"> </w:t>
            </w:r>
            <w:r w:rsidR="00392ACD">
              <w:rPr>
                <w:rFonts w:hint="eastAsia"/>
              </w:rPr>
              <w:t>探求</w:t>
            </w:r>
            <w:r w:rsidR="00FA7FA6">
              <w:rPr>
                <w:rFonts w:hint="eastAsia"/>
              </w:rPr>
              <w:t>現代文</w:t>
            </w:r>
            <w:r w:rsidR="00B457E2">
              <w:rPr>
                <w:rFonts w:hint="eastAsia"/>
              </w:rPr>
              <w:t>Ｂ</w:t>
            </w:r>
          </w:p>
          <w:p w:rsidR="00FA7FA6" w:rsidRPr="00FA7FA6" w:rsidRDefault="00FA7FA6" w:rsidP="00B457E2">
            <w:pPr>
              <w:rPr>
                <w:rFonts w:hint="eastAsia"/>
              </w:rPr>
            </w:pPr>
          </w:p>
        </w:tc>
        <w:tc>
          <w:tcPr>
            <w:tcW w:w="2639" w:type="dxa"/>
          </w:tcPr>
          <w:p w:rsidR="00392ACD" w:rsidRDefault="00FA7FA6" w:rsidP="00273714">
            <w:pPr>
              <w:ind w:left="231" w:hangingChars="117" w:hanging="231"/>
              <w:rPr>
                <w:rFonts w:hint="eastAsia"/>
              </w:rPr>
            </w:pPr>
            <w:r>
              <w:rPr>
                <w:rFonts w:hint="eastAsia"/>
              </w:rPr>
              <w:t>①</w:t>
            </w:r>
            <w:r w:rsidR="0029670A">
              <w:rPr>
                <w:rFonts w:hint="eastAsia"/>
              </w:rPr>
              <w:t>文化論・言語論・社会論等</w:t>
            </w:r>
            <w:r w:rsidR="00463025">
              <w:rPr>
                <w:rFonts w:hint="eastAsia"/>
              </w:rPr>
              <w:t>、重要なテーマを考察した</w:t>
            </w:r>
            <w:r w:rsidR="0081465F">
              <w:rPr>
                <w:rFonts w:hint="eastAsia"/>
              </w:rPr>
              <w:t>、</w:t>
            </w:r>
            <w:r w:rsidR="00793A9B">
              <w:rPr>
                <w:rFonts w:hint="eastAsia"/>
              </w:rPr>
              <w:t>高度な内容の</w:t>
            </w:r>
            <w:r w:rsidR="00463025">
              <w:rPr>
                <w:rFonts w:hint="eastAsia"/>
              </w:rPr>
              <w:t>評論教材が</w:t>
            </w:r>
            <w:r w:rsidR="0081465F">
              <w:rPr>
                <w:rFonts w:hint="eastAsia"/>
              </w:rPr>
              <w:t>多数</w:t>
            </w:r>
            <w:r w:rsidR="00463025">
              <w:rPr>
                <w:rFonts w:hint="eastAsia"/>
              </w:rPr>
              <w:t>採録されている</w:t>
            </w:r>
            <w:r>
              <w:rPr>
                <w:rFonts w:hint="eastAsia"/>
              </w:rPr>
              <w:t>。</w:t>
            </w:r>
          </w:p>
          <w:p w:rsidR="00CC193A" w:rsidRDefault="00CC193A" w:rsidP="00273714">
            <w:pPr>
              <w:ind w:left="231" w:hangingChars="117" w:hanging="231"/>
              <w:rPr>
                <w:rFonts w:hint="eastAsia"/>
              </w:rPr>
            </w:pPr>
            <w:r>
              <w:rPr>
                <w:rFonts w:hint="eastAsia"/>
              </w:rPr>
              <w:t>②小説教材は、明治から戦後に至る各時代からバランスよく採録されている。</w:t>
            </w:r>
          </w:p>
          <w:p w:rsidR="00390CB2" w:rsidRDefault="000C2DC5" w:rsidP="00273714">
            <w:pPr>
              <w:ind w:left="231" w:hangingChars="117" w:hanging="231"/>
              <w:rPr>
                <w:rFonts w:hint="eastAsia"/>
              </w:rPr>
            </w:pPr>
            <w:r>
              <w:rPr>
                <w:rFonts w:hint="eastAsia"/>
              </w:rPr>
              <w:t>③筆者の柔軟な思考法に触れられ、</w:t>
            </w:r>
            <w:r w:rsidR="00E7277F">
              <w:rPr>
                <w:rFonts w:hint="eastAsia"/>
              </w:rPr>
              <w:t>自己のあり方</w:t>
            </w:r>
            <w:r w:rsidR="00463025">
              <w:rPr>
                <w:rFonts w:hint="eastAsia"/>
              </w:rPr>
              <w:t>から他者との関係まで</w:t>
            </w:r>
            <w:r w:rsidR="00E7277F">
              <w:rPr>
                <w:rFonts w:hint="eastAsia"/>
              </w:rPr>
              <w:t>を問うことのできる</w:t>
            </w:r>
            <w:r w:rsidR="00390CB2">
              <w:rPr>
                <w:rFonts w:hint="eastAsia"/>
              </w:rPr>
              <w:t>随想教材が採録されている。</w:t>
            </w:r>
          </w:p>
          <w:p w:rsidR="00285ADF" w:rsidRDefault="00285ADF" w:rsidP="00273714">
            <w:pPr>
              <w:ind w:left="231" w:hangingChars="117" w:hanging="231"/>
              <w:rPr>
                <w:rFonts w:hint="eastAsia"/>
              </w:rPr>
            </w:pPr>
            <w:r>
              <w:rPr>
                <w:rFonts w:hint="eastAsia"/>
              </w:rPr>
              <w:t>④</w:t>
            </w:r>
            <w:r w:rsidR="000C1231">
              <w:rPr>
                <w:rFonts w:hint="eastAsia"/>
              </w:rPr>
              <w:t>生徒の主体的・対話的で深い学びを後押しする教材として、</w:t>
            </w:r>
            <w:r>
              <w:rPr>
                <w:rFonts w:hint="eastAsia"/>
              </w:rPr>
              <w:t>戯曲</w:t>
            </w:r>
            <w:r w:rsidR="000C1231">
              <w:rPr>
                <w:rFonts w:hint="eastAsia"/>
              </w:rPr>
              <w:t>が採録されている</w:t>
            </w:r>
            <w:r w:rsidR="000C2DC5">
              <w:rPr>
                <w:rFonts w:hint="eastAsia"/>
              </w:rPr>
              <w:t>。</w:t>
            </w:r>
          </w:p>
          <w:p w:rsidR="00273714" w:rsidRPr="00CC193A" w:rsidRDefault="00285ADF" w:rsidP="00273714">
            <w:pPr>
              <w:ind w:left="231" w:hangingChars="117" w:hanging="231"/>
              <w:rPr>
                <w:rFonts w:hint="eastAsia"/>
              </w:rPr>
            </w:pPr>
            <w:r>
              <w:rPr>
                <w:rFonts w:hint="eastAsia"/>
              </w:rPr>
              <w:t>⑤</w:t>
            </w:r>
            <w:r w:rsidR="00273714">
              <w:rPr>
                <w:rFonts w:hint="eastAsia"/>
              </w:rPr>
              <w:t>生徒が取り組みやすく、進学後に</w:t>
            </w:r>
            <w:r w:rsidR="00463025">
              <w:rPr>
                <w:rFonts w:hint="eastAsia"/>
              </w:rPr>
              <w:t>も</w:t>
            </w:r>
            <w:r w:rsidR="00273714">
              <w:rPr>
                <w:rFonts w:hint="eastAsia"/>
              </w:rPr>
              <w:t>役立つ表現力を養うことのできる表現単元となっている。</w:t>
            </w:r>
          </w:p>
        </w:tc>
        <w:tc>
          <w:tcPr>
            <w:tcW w:w="2639" w:type="dxa"/>
          </w:tcPr>
          <w:p w:rsidR="00392ACD" w:rsidRDefault="00285ADF" w:rsidP="00285ADF">
            <w:pPr>
              <w:ind w:left="197" w:hangingChars="100" w:hanging="197"/>
              <w:rPr>
                <w:rFonts w:hint="eastAsia"/>
              </w:rPr>
            </w:pPr>
            <w:r>
              <w:rPr>
                <w:rFonts w:hint="eastAsia"/>
              </w:rPr>
              <w:t>①</w:t>
            </w:r>
            <w:r w:rsidR="003301B2">
              <w:rPr>
                <w:rFonts w:hint="eastAsia"/>
              </w:rPr>
              <w:t>評論分野は、Ⅰ部</w:t>
            </w:r>
            <w:r w:rsidR="000C1231">
              <w:rPr>
                <w:rFonts w:hint="eastAsia"/>
              </w:rPr>
              <w:t>10</w:t>
            </w:r>
            <w:r w:rsidR="00FA7FA6">
              <w:rPr>
                <w:rFonts w:hint="eastAsia"/>
              </w:rPr>
              <w:t>教材</w:t>
            </w:r>
            <w:r w:rsidR="003301B2">
              <w:rPr>
                <w:rFonts w:hint="eastAsia"/>
              </w:rPr>
              <w:t>・</w:t>
            </w:r>
            <w:r w:rsidR="0029670A">
              <w:rPr>
                <w:rFonts w:hint="eastAsia"/>
              </w:rPr>
              <w:t>Ⅱ部</w:t>
            </w:r>
            <w:r w:rsidR="000C1231">
              <w:rPr>
                <w:rFonts w:hint="eastAsia"/>
              </w:rPr>
              <w:t>11</w:t>
            </w:r>
            <w:r w:rsidR="0029670A">
              <w:rPr>
                <w:rFonts w:hint="eastAsia"/>
              </w:rPr>
              <w:t>教材</w:t>
            </w:r>
            <w:r w:rsidR="003301B2">
              <w:rPr>
                <w:rFonts w:hint="eastAsia"/>
              </w:rPr>
              <w:t>、評論解析</w:t>
            </w:r>
            <w:r w:rsidR="000C1231">
              <w:rPr>
                <w:rFonts w:hint="eastAsia"/>
              </w:rPr>
              <w:t>8</w:t>
            </w:r>
            <w:r w:rsidR="000C1231">
              <w:rPr>
                <w:rFonts w:hint="eastAsia"/>
              </w:rPr>
              <w:t>教材（各部</w:t>
            </w:r>
            <w:r w:rsidR="000C1231">
              <w:rPr>
                <w:rFonts w:hint="eastAsia"/>
              </w:rPr>
              <w:t>4</w:t>
            </w:r>
            <w:r w:rsidR="000C1231">
              <w:rPr>
                <w:rFonts w:hint="eastAsia"/>
              </w:rPr>
              <w:t>教材ずつ）の計</w:t>
            </w:r>
            <w:r w:rsidR="000C1231">
              <w:rPr>
                <w:rFonts w:hint="eastAsia"/>
              </w:rPr>
              <w:t>29</w:t>
            </w:r>
            <w:r w:rsidR="000C1231">
              <w:rPr>
                <w:rFonts w:hint="eastAsia"/>
              </w:rPr>
              <w:t>教材</w:t>
            </w:r>
            <w:r w:rsidR="003301B2">
              <w:rPr>
                <w:rFonts w:hint="eastAsia"/>
              </w:rPr>
              <w:t>から構成されており、十分な教材数が確保されている</w:t>
            </w:r>
            <w:r w:rsidR="00FA7FA6">
              <w:rPr>
                <w:rFonts w:hint="eastAsia"/>
              </w:rPr>
              <w:t>。</w:t>
            </w:r>
          </w:p>
          <w:p w:rsidR="00FA7FA6" w:rsidRDefault="00FA7FA6" w:rsidP="00C50BED">
            <w:pPr>
              <w:ind w:left="144" w:hangingChars="73" w:hanging="144"/>
              <w:rPr>
                <w:rFonts w:hint="eastAsia"/>
              </w:rPr>
            </w:pPr>
            <w:r>
              <w:rPr>
                <w:rFonts w:hint="eastAsia"/>
              </w:rPr>
              <w:t>②</w:t>
            </w:r>
            <w:r w:rsidR="00C54FFA">
              <w:rPr>
                <w:rFonts w:hint="eastAsia"/>
              </w:rPr>
              <w:t>小説分野</w:t>
            </w:r>
            <w:r>
              <w:rPr>
                <w:rFonts w:hint="eastAsia"/>
              </w:rPr>
              <w:t>は、</w:t>
            </w:r>
            <w:r w:rsidR="009F4F8D">
              <w:rPr>
                <w:rFonts w:hint="eastAsia"/>
              </w:rPr>
              <w:t>「山月記」「こころ」「檸檬」「舞姫」といった</w:t>
            </w:r>
            <w:r w:rsidR="00917EAF">
              <w:rPr>
                <w:rFonts w:hint="eastAsia"/>
              </w:rPr>
              <w:t>評価の高い</w:t>
            </w:r>
            <w:r w:rsidR="009F4F8D">
              <w:rPr>
                <w:rFonts w:hint="eastAsia"/>
              </w:rPr>
              <w:t>教材に加えて、</w:t>
            </w:r>
            <w:r w:rsidR="00917EAF">
              <w:rPr>
                <w:rFonts w:hint="eastAsia"/>
              </w:rPr>
              <w:t>個性豊かな表現</w:t>
            </w:r>
            <w:r w:rsidR="00A61F7F">
              <w:rPr>
                <w:rFonts w:hint="eastAsia"/>
              </w:rPr>
              <w:t>や</w:t>
            </w:r>
            <w:r w:rsidR="000E3D6D">
              <w:rPr>
                <w:rFonts w:hint="eastAsia"/>
              </w:rPr>
              <w:t>軽妙な語り口</w:t>
            </w:r>
            <w:r w:rsidR="00320108">
              <w:rPr>
                <w:rFonts w:hint="eastAsia"/>
              </w:rPr>
              <w:t>により、小説読解の奥深さ</w:t>
            </w:r>
            <w:r w:rsidR="000E3D6D">
              <w:rPr>
                <w:rFonts w:hint="eastAsia"/>
              </w:rPr>
              <w:t>に触れることの</w:t>
            </w:r>
            <w:r w:rsidR="009F4F8D">
              <w:rPr>
                <w:rFonts w:hint="eastAsia"/>
              </w:rPr>
              <w:t>できる</w:t>
            </w:r>
            <w:r w:rsidR="00ED6CA3">
              <w:rPr>
                <w:rFonts w:hint="eastAsia"/>
              </w:rPr>
              <w:t>作品を</w:t>
            </w:r>
            <w:r w:rsidR="00917EAF">
              <w:rPr>
                <w:rFonts w:hint="eastAsia"/>
              </w:rPr>
              <w:t>採録している</w:t>
            </w:r>
            <w:r>
              <w:rPr>
                <w:rFonts w:hint="eastAsia"/>
              </w:rPr>
              <w:t>。</w:t>
            </w:r>
          </w:p>
          <w:p w:rsidR="00285ADF" w:rsidRDefault="00285ADF" w:rsidP="00C50BED">
            <w:pPr>
              <w:ind w:left="144" w:hangingChars="73" w:hanging="144"/>
              <w:rPr>
                <w:rFonts w:hint="eastAsia"/>
              </w:rPr>
            </w:pPr>
            <w:r>
              <w:rPr>
                <w:rFonts w:hint="eastAsia"/>
              </w:rPr>
              <w:t>③随想</w:t>
            </w:r>
            <w:r w:rsidR="00320108">
              <w:rPr>
                <w:rFonts w:hint="eastAsia"/>
              </w:rPr>
              <w:t>・戯曲単元</w:t>
            </w:r>
            <w:r w:rsidR="00C54FFA">
              <w:rPr>
                <w:rFonts w:hint="eastAsia"/>
              </w:rPr>
              <w:t>は、</w:t>
            </w:r>
            <w:r w:rsidR="00320108">
              <w:rPr>
                <w:rFonts w:hint="eastAsia"/>
              </w:rPr>
              <w:t>それぞれ</w:t>
            </w:r>
            <w:r w:rsidR="00443757">
              <w:rPr>
                <w:rFonts w:hint="eastAsia"/>
              </w:rPr>
              <w:t>学習に効果的な位置</w:t>
            </w:r>
            <w:r w:rsidR="006D2F93">
              <w:rPr>
                <w:rFonts w:hint="eastAsia"/>
              </w:rPr>
              <w:t>に置かれている</w:t>
            </w:r>
            <w:r w:rsidR="00C54FFA">
              <w:rPr>
                <w:rFonts w:hint="eastAsia"/>
              </w:rPr>
              <w:t>。</w:t>
            </w:r>
          </w:p>
          <w:p w:rsidR="00285ADF" w:rsidRPr="00FA7FA6" w:rsidRDefault="00C54FFA" w:rsidP="006D2F93">
            <w:pPr>
              <w:ind w:left="144" w:hangingChars="73" w:hanging="144"/>
              <w:rPr>
                <w:rFonts w:hint="eastAsia"/>
              </w:rPr>
            </w:pPr>
            <w:r>
              <w:rPr>
                <w:rFonts w:hint="eastAsia"/>
              </w:rPr>
              <w:t>④表現編は</w:t>
            </w:r>
            <w:r w:rsidRPr="00A61F7F">
              <w:rPr>
                <w:rFonts w:hint="eastAsia"/>
              </w:rPr>
              <w:t>、</w:t>
            </w:r>
            <w:r w:rsidR="006D2F93">
              <w:rPr>
                <w:rFonts w:hint="eastAsia"/>
              </w:rPr>
              <w:t>〈話す・聞く〉〈書く</w:t>
            </w:r>
            <w:r w:rsidR="00216ED9">
              <w:rPr>
                <w:rFonts w:hint="eastAsia"/>
              </w:rPr>
              <w:t>〉ための基本的な技法を網羅した構成になっている</w:t>
            </w:r>
            <w:r w:rsidR="006D2F93">
              <w:rPr>
                <w:rFonts w:hint="eastAsia"/>
              </w:rPr>
              <w:t>。</w:t>
            </w:r>
          </w:p>
        </w:tc>
        <w:tc>
          <w:tcPr>
            <w:tcW w:w="2639" w:type="dxa"/>
          </w:tcPr>
          <w:p w:rsidR="00392ACD" w:rsidRDefault="00CC193A" w:rsidP="00C50BED">
            <w:pPr>
              <w:ind w:left="199" w:hangingChars="101" w:hanging="199"/>
              <w:rPr>
                <w:rFonts w:hint="eastAsia"/>
              </w:rPr>
            </w:pPr>
            <w:r>
              <w:rPr>
                <w:rFonts w:hint="eastAsia"/>
              </w:rPr>
              <w:t>①本文に付した記号や脚注番号・脚問の印が</w:t>
            </w:r>
            <w:r w:rsidR="00D84A12">
              <w:rPr>
                <w:rFonts w:hint="eastAsia"/>
              </w:rPr>
              <w:t>学習上</w:t>
            </w:r>
            <w:r>
              <w:rPr>
                <w:rFonts w:hint="eastAsia"/>
              </w:rPr>
              <w:t>効果的</w:t>
            </w:r>
            <w:r w:rsidR="00D84A12">
              <w:rPr>
                <w:rFonts w:hint="eastAsia"/>
              </w:rPr>
              <w:t>である</w:t>
            </w:r>
            <w:r>
              <w:rPr>
                <w:rFonts w:hint="eastAsia"/>
              </w:rPr>
              <w:t>。</w:t>
            </w:r>
          </w:p>
          <w:p w:rsidR="00D84A12" w:rsidRDefault="00390CB2" w:rsidP="00D84A12">
            <w:pPr>
              <w:ind w:left="199" w:hangingChars="101" w:hanging="199"/>
              <w:rPr>
                <w:rFonts w:hint="eastAsia"/>
              </w:rPr>
            </w:pPr>
            <w:r>
              <w:rPr>
                <w:rFonts w:hint="eastAsia"/>
              </w:rPr>
              <w:t>②</w:t>
            </w:r>
            <w:r w:rsidR="00D84A12">
              <w:rPr>
                <w:rFonts w:hint="eastAsia"/>
              </w:rPr>
              <w:t>写真</w:t>
            </w:r>
            <w:r w:rsidR="005705C9">
              <w:rPr>
                <w:rFonts w:hint="eastAsia"/>
              </w:rPr>
              <w:t>や挿絵</w:t>
            </w:r>
            <w:r w:rsidR="00463025">
              <w:rPr>
                <w:rFonts w:hint="eastAsia"/>
              </w:rPr>
              <w:t>、図版</w:t>
            </w:r>
            <w:r w:rsidR="00D84A12">
              <w:rPr>
                <w:rFonts w:hint="eastAsia"/>
              </w:rPr>
              <w:t>が華美に流れず、本文内容と連動して効果的に配置されている。</w:t>
            </w:r>
          </w:p>
          <w:p w:rsidR="00D84A12" w:rsidRDefault="00AB209E" w:rsidP="00D84A12">
            <w:pPr>
              <w:ind w:left="199" w:hangingChars="101" w:hanging="199"/>
              <w:rPr>
                <w:rFonts w:hint="eastAsia"/>
              </w:rPr>
            </w:pPr>
            <w:r>
              <w:rPr>
                <w:rFonts w:hint="eastAsia"/>
              </w:rPr>
              <w:t>③</w:t>
            </w:r>
            <w:r w:rsidR="00443757">
              <w:rPr>
                <w:rFonts w:hint="eastAsia"/>
              </w:rPr>
              <w:t>脚注や</w:t>
            </w:r>
            <w:r w:rsidR="006D2F93">
              <w:rPr>
                <w:rFonts w:hint="eastAsia"/>
              </w:rPr>
              <w:t>重要語の選定が</w:t>
            </w:r>
            <w:r w:rsidR="00D84A12">
              <w:rPr>
                <w:rFonts w:hint="eastAsia"/>
              </w:rPr>
              <w:t>適切である。</w:t>
            </w:r>
          </w:p>
          <w:p w:rsidR="00CC193A" w:rsidRDefault="00D84A12" w:rsidP="00D84A12">
            <w:pPr>
              <w:ind w:left="199" w:hangingChars="101" w:hanging="199"/>
              <w:rPr>
                <w:rFonts w:hint="eastAsia"/>
              </w:rPr>
            </w:pPr>
            <w:r>
              <w:rPr>
                <w:rFonts w:hint="eastAsia"/>
              </w:rPr>
              <w:t>④「学習の手引き」や脚問で、本文読解に関わる重要な点が要領よく押さえられる仕様になっている。</w:t>
            </w:r>
          </w:p>
          <w:p w:rsidR="00D84A12" w:rsidRDefault="00D84A12" w:rsidP="00D84A12">
            <w:pPr>
              <w:ind w:left="199" w:hangingChars="101" w:hanging="199"/>
              <w:rPr>
                <w:rFonts w:hint="eastAsia"/>
              </w:rPr>
            </w:pPr>
            <w:r>
              <w:rPr>
                <w:rFonts w:hint="eastAsia"/>
              </w:rPr>
              <w:t>⑤表現編へのリンクが掲載されており、関連する活動へつなげやすい。</w:t>
            </w:r>
          </w:p>
          <w:p w:rsidR="006D2F93" w:rsidRPr="00D84A12" w:rsidRDefault="006D2F93" w:rsidP="00443757">
            <w:pPr>
              <w:ind w:left="199" w:hangingChars="101" w:hanging="199"/>
              <w:rPr>
                <w:rFonts w:hint="eastAsia"/>
              </w:rPr>
            </w:pPr>
            <w:r>
              <w:rPr>
                <w:rFonts w:hint="eastAsia"/>
              </w:rPr>
              <w:t>⑥</w:t>
            </w:r>
            <w:r w:rsidR="00443757">
              <w:rPr>
                <w:rFonts w:hint="eastAsia"/>
              </w:rPr>
              <w:t>すべての人が不自由なく使用できるよう、書体や配色に細かな配慮が施してある。</w:t>
            </w:r>
          </w:p>
        </w:tc>
        <w:tc>
          <w:tcPr>
            <w:tcW w:w="2640" w:type="dxa"/>
          </w:tcPr>
          <w:p w:rsidR="000C2DC5" w:rsidRDefault="009F4F8D" w:rsidP="00C50BED">
            <w:pPr>
              <w:ind w:left="252" w:hangingChars="128" w:hanging="252"/>
              <w:rPr>
                <w:rFonts w:hint="eastAsia"/>
              </w:rPr>
            </w:pPr>
            <w:r>
              <w:rPr>
                <w:rFonts w:hint="eastAsia"/>
              </w:rPr>
              <w:t>①</w:t>
            </w:r>
            <w:r w:rsidR="00E7277F">
              <w:rPr>
                <w:rFonts w:hint="eastAsia"/>
              </w:rPr>
              <w:t>冒頭随想が評論学習につながるような論理性の高さを持っている。</w:t>
            </w:r>
          </w:p>
          <w:p w:rsidR="006D5AAB" w:rsidRDefault="000C2DC5" w:rsidP="00C54FFA">
            <w:pPr>
              <w:ind w:left="252" w:hangingChars="128" w:hanging="252"/>
              <w:rPr>
                <w:rFonts w:hint="eastAsia"/>
              </w:rPr>
            </w:pPr>
            <w:r>
              <w:rPr>
                <w:rFonts w:hint="eastAsia"/>
              </w:rPr>
              <w:t>②</w:t>
            </w:r>
            <w:r w:rsidR="006D5AAB">
              <w:rPr>
                <w:rFonts w:hint="eastAsia"/>
              </w:rPr>
              <w:t>文章を読み解く中で視野が広がり、現代の社会状況を鋭く洞察していく力を養うことのできる評論が選ばれている。</w:t>
            </w:r>
          </w:p>
          <w:p w:rsidR="000C2DC5" w:rsidRDefault="000C2DC5" w:rsidP="006D2F93">
            <w:pPr>
              <w:ind w:left="252" w:hangingChars="128" w:hanging="252"/>
              <w:rPr>
                <w:rFonts w:hint="eastAsia"/>
              </w:rPr>
            </w:pPr>
            <w:r>
              <w:rPr>
                <w:rFonts w:hint="eastAsia"/>
              </w:rPr>
              <w:t>③</w:t>
            </w:r>
            <w:r w:rsidR="006D2F93">
              <w:rPr>
                <w:rFonts w:hint="eastAsia"/>
              </w:rPr>
              <w:t>評論・小説・詩のそれぞれについて、</w:t>
            </w:r>
            <w:r w:rsidR="00463025">
              <w:rPr>
                <w:rFonts w:hint="eastAsia"/>
              </w:rPr>
              <w:t>発展学習としての深い学びを可能にする</w:t>
            </w:r>
            <w:r w:rsidR="006D2F93">
              <w:rPr>
                <w:rFonts w:hint="eastAsia"/>
              </w:rPr>
              <w:t>コラムが掲載されている。</w:t>
            </w:r>
          </w:p>
          <w:p w:rsidR="009F4F8D" w:rsidRDefault="006D2F93" w:rsidP="00C50BED">
            <w:pPr>
              <w:ind w:left="252" w:hangingChars="128" w:hanging="252"/>
              <w:rPr>
                <w:rFonts w:hint="eastAsia"/>
              </w:rPr>
            </w:pPr>
            <w:r>
              <w:rPr>
                <w:rFonts w:hint="eastAsia"/>
              </w:rPr>
              <w:t>④</w:t>
            </w:r>
            <w:r w:rsidR="00C54FFA">
              <w:rPr>
                <w:rFonts w:hint="eastAsia"/>
              </w:rPr>
              <w:t>表現１で取り上げられている、互いに本を紹介しあう活動は、新しい学年への導入に最適である</w:t>
            </w:r>
            <w:r w:rsidR="00917EAF">
              <w:rPr>
                <w:rFonts w:hint="eastAsia"/>
              </w:rPr>
              <w:t>。</w:t>
            </w:r>
          </w:p>
          <w:p w:rsidR="004A7343" w:rsidRPr="00CC193A" w:rsidRDefault="006D2F93" w:rsidP="00C50BED">
            <w:pPr>
              <w:ind w:left="252" w:hangingChars="128" w:hanging="252"/>
              <w:rPr>
                <w:rFonts w:hint="eastAsia"/>
              </w:rPr>
            </w:pPr>
            <w:r>
              <w:rPr>
                <w:rFonts w:hint="eastAsia"/>
              </w:rPr>
              <w:t>⑤</w:t>
            </w:r>
            <w:r w:rsidR="004A7343">
              <w:rPr>
                <w:rFonts w:hint="eastAsia"/>
              </w:rPr>
              <w:t>「評論を読み解く解析マスター」をはじめとした付録ページの質が高く、配置も工夫されている。</w:t>
            </w:r>
          </w:p>
        </w:tc>
      </w:tr>
    </w:tbl>
    <w:p w:rsidR="00B457E2" w:rsidRPr="00B457E2" w:rsidRDefault="00B457E2" w:rsidP="00102630"/>
    <w:sectPr w:rsidR="00B457E2" w:rsidRPr="00B457E2">
      <w:pgSz w:w="16838" w:h="11906" w:orient="landscape" w:code="9"/>
      <w:pgMar w:top="964" w:right="964" w:bottom="964" w:left="964" w:header="851" w:footer="992" w:gutter="0"/>
      <w:cols w:space="425"/>
      <w:docGrid w:type="linesAndChars" w:linePitch="285" w:charSpace="-5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AAA" w:rsidRDefault="00734AAA" w:rsidP="00273714">
      <w:r>
        <w:separator/>
      </w:r>
    </w:p>
  </w:endnote>
  <w:endnote w:type="continuationSeparator" w:id="0">
    <w:p w:rsidR="00734AAA" w:rsidRDefault="00734AAA" w:rsidP="0027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AAA" w:rsidRDefault="00734AAA" w:rsidP="00273714">
      <w:r>
        <w:separator/>
      </w:r>
    </w:p>
  </w:footnote>
  <w:footnote w:type="continuationSeparator" w:id="0">
    <w:p w:rsidR="00734AAA" w:rsidRDefault="00734AAA" w:rsidP="002737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459"/>
    <w:multiLevelType w:val="hybridMultilevel"/>
    <w:tmpl w:val="FF58903A"/>
    <w:lvl w:ilvl="0" w:tplc="B6928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5CC5E43"/>
    <w:multiLevelType w:val="hybridMultilevel"/>
    <w:tmpl w:val="45FA0550"/>
    <w:lvl w:ilvl="0" w:tplc="0D90A3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414C4A"/>
    <w:multiLevelType w:val="hybridMultilevel"/>
    <w:tmpl w:val="926CB852"/>
    <w:lvl w:ilvl="0" w:tplc="7B54A3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E97405B"/>
    <w:multiLevelType w:val="hybridMultilevel"/>
    <w:tmpl w:val="3770322C"/>
    <w:lvl w:ilvl="0" w:tplc="5FAA7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4A549B8"/>
    <w:multiLevelType w:val="hybridMultilevel"/>
    <w:tmpl w:val="09987E66"/>
    <w:lvl w:ilvl="0" w:tplc="2E6A0B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1422FC1"/>
    <w:multiLevelType w:val="hybridMultilevel"/>
    <w:tmpl w:val="E182E76C"/>
    <w:lvl w:ilvl="0" w:tplc="7A50C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4FB7265"/>
    <w:multiLevelType w:val="hybridMultilevel"/>
    <w:tmpl w:val="0FBCFE92"/>
    <w:lvl w:ilvl="0" w:tplc="00566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AC68FB"/>
    <w:multiLevelType w:val="hybridMultilevel"/>
    <w:tmpl w:val="A6BAA430"/>
    <w:lvl w:ilvl="0" w:tplc="9D7E5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836734F"/>
    <w:multiLevelType w:val="hybridMultilevel"/>
    <w:tmpl w:val="985C8D60"/>
    <w:lvl w:ilvl="0" w:tplc="03CE5A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8EA6C31"/>
    <w:multiLevelType w:val="hybridMultilevel"/>
    <w:tmpl w:val="D2E63F7C"/>
    <w:lvl w:ilvl="0" w:tplc="77AEB0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B65364C"/>
    <w:multiLevelType w:val="hybridMultilevel"/>
    <w:tmpl w:val="6166EEFE"/>
    <w:lvl w:ilvl="0" w:tplc="82CADFAC">
      <w:start w:val="1"/>
      <w:numFmt w:val="decimalEnclosedCircle"/>
      <w:lvlText w:val="%1"/>
      <w:lvlJc w:val="left"/>
      <w:pPr>
        <w:ind w:left="363" w:hanging="360"/>
      </w:pPr>
      <w:rPr>
        <w:rFonts w:hint="default"/>
      </w:rPr>
    </w:lvl>
    <w:lvl w:ilvl="1" w:tplc="04090017" w:tentative="1">
      <w:start w:val="1"/>
      <w:numFmt w:val="aiueoFullWidth"/>
      <w:lvlText w:val="(%2)"/>
      <w:lvlJc w:val="left"/>
      <w:pPr>
        <w:ind w:left="843" w:hanging="420"/>
      </w:pPr>
    </w:lvl>
    <w:lvl w:ilvl="2" w:tplc="04090011" w:tentative="1">
      <w:start w:val="1"/>
      <w:numFmt w:val="decimalEnclosedCircle"/>
      <w:lvlText w:val="%3"/>
      <w:lvlJc w:val="left"/>
      <w:pPr>
        <w:ind w:left="1263" w:hanging="420"/>
      </w:pPr>
    </w:lvl>
    <w:lvl w:ilvl="3" w:tplc="0409000F" w:tentative="1">
      <w:start w:val="1"/>
      <w:numFmt w:val="decimal"/>
      <w:lvlText w:val="%4."/>
      <w:lvlJc w:val="left"/>
      <w:pPr>
        <w:ind w:left="1683" w:hanging="420"/>
      </w:pPr>
    </w:lvl>
    <w:lvl w:ilvl="4" w:tplc="04090017" w:tentative="1">
      <w:start w:val="1"/>
      <w:numFmt w:val="aiueoFullWidth"/>
      <w:lvlText w:val="(%5)"/>
      <w:lvlJc w:val="left"/>
      <w:pPr>
        <w:ind w:left="2103" w:hanging="420"/>
      </w:pPr>
    </w:lvl>
    <w:lvl w:ilvl="5" w:tplc="04090011" w:tentative="1">
      <w:start w:val="1"/>
      <w:numFmt w:val="decimalEnclosedCircle"/>
      <w:lvlText w:val="%6"/>
      <w:lvlJc w:val="left"/>
      <w:pPr>
        <w:ind w:left="2523" w:hanging="420"/>
      </w:pPr>
    </w:lvl>
    <w:lvl w:ilvl="6" w:tplc="0409000F" w:tentative="1">
      <w:start w:val="1"/>
      <w:numFmt w:val="decimal"/>
      <w:lvlText w:val="%7."/>
      <w:lvlJc w:val="left"/>
      <w:pPr>
        <w:ind w:left="2943" w:hanging="420"/>
      </w:pPr>
    </w:lvl>
    <w:lvl w:ilvl="7" w:tplc="04090017" w:tentative="1">
      <w:start w:val="1"/>
      <w:numFmt w:val="aiueoFullWidth"/>
      <w:lvlText w:val="(%8)"/>
      <w:lvlJc w:val="left"/>
      <w:pPr>
        <w:ind w:left="3363" w:hanging="420"/>
      </w:pPr>
    </w:lvl>
    <w:lvl w:ilvl="8" w:tplc="04090011" w:tentative="1">
      <w:start w:val="1"/>
      <w:numFmt w:val="decimalEnclosedCircle"/>
      <w:lvlText w:val="%9"/>
      <w:lvlJc w:val="left"/>
      <w:pPr>
        <w:ind w:left="3783" w:hanging="420"/>
      </w:pPr>
    </w:lvl>
  </w:abstractNum>
  <w:num w:numId="1">
    <w:abstractNumId w:val="6"/>
  </w:num>
  <w:num w:numId="2">
    <w:abstractNumId w:val="8"/>
  </w:num>
  <w:num w:numId="3">
    <w:abstractNumId w:val="7"/>
  </w:num>
  <w:num w:numId="4">
    <w:abstractNumId w:val="2"/>
  </w:num>
  <w:num w:numId="5">
    <w:abstractNumId w:val="3"/>
  </w:num>
  <w:num w:numId="6">
    <w:abstractNumId w:val="1"/>
  </w:num>
  <w:num w:numId="7">
    <w:abstractNumId w:val="9"/>
  </w:num>
  <w:num w:numId="8">
    <w:abstractNumId w:val="4"/>
  </w:num>
  <w:num w:numId="9">
    <w:abstractNumId w:val="0"/>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7"/>
  <w:drawingGridVerticalSpacing w:val="2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D44"/>
    <w:rsid w:val="00003072"/>
    <w:rsid w:val="00031AE4"/>
    <w:rsid w:val="0006611F"/>
    <w:rsid w:val="00087FE9"/>
    <w:rsid w:val="000B203C"/>
    <w:rsid w:val="000C1231"/>
    <w:rsid w:val="000C2DC5"/>
    <w:rsid w:val="000E3D6D"/>
    <w:rsid w:val="00102630"/>
    <w:rsid w:val="00216ED9"/>
    <w:rsid w:val="002339D7"/>
    <w:rsid w:val="002524B3"/>
    <w:rsid w:val="00272750"/>
    <w:rsid w:val="00273714"/>
    <w:rsid w:val="00282185"/>
    <w:rsid w:val="00285ADF"/>
    <w:rsid w:val="0029670A"/>
    <w:rsid w:val="003177EE"/>
    <w:rsid w:val="00320108"/>
    <w:rsid w:val="003301B2"/>
    <w:rsid w:val="00336EC0"/>
    <w:rsid w:val="00390CB2"/>
    <w:rsid w:val="00392ACD"/>
    <w:rsid w:val="003D3AE4"/>
    <w:rsid w:val="00443757"/>
    <w:rsid w:val="00463025"/>
    <w:rsid w:val="00495A18"/>
    <w:rsid w:val="004A7343"/>
    <w:rsid w:val="004B0354"/>
    <w:rsid w:val="004C7295"/>
    <w:rsid w:val="00507063"/>
    <w:rsid w:val="005705C9"/>
    <w:rsid w:val="005E1091"/>
    <w:rsid w:val="00607F1B"/>
    <w:rsid w:val="00635223"/>
    <w:rsid w:val="006A3E2A"/>
    <w:rsid w:val="006D12DB"/>
    <w:rsid w:val="006D2F93"/>
    <w:rsid w:val="006D5AAB"/>
    <w:rsid w:val="00734AAA"/>
    <w:rsid w:val="00793A9B"/>
    <w:rsid w:val="0081465F"/>
    <w:rsid w:val="008B3D44"/>
    <w:rsid w:val="00917EAF"/>
    <w:rsid w:val="00922338"/>
    <w:rsid w:val="00923F03"/>
    <w:rsid w:val="009E7A02"/>
    <w:rsid w:val="009F4F8D"/>
    <w:rsid w:val="00A32588"/>
    <w:rsid w:val="00A61F7F"/>
    <w:rsid w:val="00A94760"/>
    <w:rsid w:val="00AB209E"/>
    <w:rsid w:val="00B27130"/>
    <w:rsid w:val="00B457E2"/>
    <w:rsid w:val="00B536C1"/>
    <w:rsid w:val="00B865A3"/>
    <w:rsid w:val="00C106EF"/>
    <w:rsid w:val="00C50BED"/>
    <w:rsid w:val="00C54FFA"/>
    <w:rsid w:val="00CC193A"/>
    <w:rsid w:val="00D84A12"/>
    <w:rsid w:val="00DC7A0E"/>
    <w:rsid w:val="00E7277F"/>
    <w:rsid w:val="00E9139F"/>
    <w:rsid w:val="00ED6CA3"/>
    <w:rsid w:val="00F64618"/>
    <w:rsid w:val="00F74870"/>
    <w:rsid w:val="00FA7FA6"/>
    <w:rsid w:val="00FE4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11F"/>
    <w:pPr>
      <w:widowControl w:val="0"/>
      <w:jc w:val="both"/>
    </w:pPr>
    <w:rPr>
      <w:rFonts w:eastAsia="ＭＳ Ｐゴシック"/>
      <w:kern w:val="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273714"/>
    <w:pPr>
      <w:tabs>
        <w:tab w:val="center" w:pos="4252"/>
        <w:tab w:val="right" w:pos="8504"/>
      </w:tabs>
      <w:snapToGrid w:val="0"/>
    </w:pPr>
  </w:style>
  <w:style w:type="character" w:customStyle="1" w:styleId="a4">
    <w:name w:val="ヘッダー (文字)"/>
    <w:link w:val="a3"/>
    <w:rsid w:val="00273714"/>
    <w:rPr>
      <w:rFonts w:eastAsia="ＭＳ Ｐゴシック"/>
      <w:kern w:val="2"/>
      <w:szCs w:val="24"/>
    </w:rPr>
  </w:style>
  <w:style w:type="paragraph" w:styleId="a5">
    <w:name w:val="footer"/>
    <w:basedOn w:val="a"/>
    <w:link w:val="a6"/>
    <w:rsid w:val="00273714"/>
    <w:pPr>
      <w:tabs>
        <w:tab w:val="center" w:pos="4252"/>
        <w:tab w:val="right" w:pos="8504"/>
      </w:tabs>
      <w:snapToGrid w:val="0"/>
    </w:pPr>
  </w:style>
  <w:style w:type="character" w:customStyle="1" w:styleId="a6">
    <w:name w:val="フッター (文字)"/>
    <w:link w:val="a5"/>
    <w:rsid w:val="00273714"/>
    <w:rPr>
      <w:rFonts w:eastAsia="ＭＳ Ｐゴシック"/>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70B7-7EC3-4956-95F9-62962744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841</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発行者</vt:lpstr>
    </vt:vector>
  </TitlesOfParts>
  <Company/>
  <LinksUpToDate>false</LinksUpToDate>
  <CharactersWithSpaces>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2017-05-26T06:07:00Z</cp:lastPrinted>
  <dcterms:created xsi:type="dcterms:W3CDTF">2018-05-07T23:51:00Z</dcterms:created>
  <dcterms:modified xsi:type="dcterms:W3CDTF">2018-05-07T23:51:00Z</dcterms:modified>
</cp:coreProperties>
</file>